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E3788" w14:textId="77777777" w:rsidR="00946F1A" w:rsidRPr="00545616" w:rsidRDefault="00946F1A" w:rsidP="00520915">
      <w:pPr>
        <w:spacing w:after="0"/>
        <w:rPr>
          <w:rFonts w:cstheme="minorHAnsi"/>
        </w:rPr>
      </w:pPr>
    </w:p>
    <w:tbl>
      <w:tblPr>
        <w:tblStyle w:val="Reetkatablice"/>
        <w:tblW w:w="15027" w:type="dxa"/>
        <w:tblInd w:w="-885" w:type="dxa"/>
        <w:tblBorders>
          <w:top w:val="single" w:sz="2" w:space="0" w:color="B8CCE4" w:themeColor="accent1" w:themeTint="66"/>
          <w:left w:val="single" w:sz="2" w:space="0" w:color="B8CCE4" w:themeColor="accent1" w:themeTint="66"/>
          <w:bottom w:val="single" w:sz="2" w:space="0" w:color="B8CCE4" w:themeColor="accent1" w:themeTint="66"/>
          <w:right w:val="single" w:sz="2" w:space="0" w:color="B8CCE4" w:themeColor="accent1" w:themeTint="66"/>
          <w:insideH w:val="single" w:sz="2" w:space="0" w:color="B8CCE4" w:themeColor="accent1" w:themeTint="66"/>
          <w:insideV w:val="single" w:sz="2" w:space="0" w:color="B8CCE4" w:themeColor="accent1" w:themeTint="66"/>
        </w:tblBorders>
        <w:tblLayout w:type="fixed"/>
        <w:tblLook w:val="04A0" w:firstRow="1" w:lastRow="0" w:firstColumn="1" w:lastColumn="0" w:noHBand="0" w:noVBand="1"/>
      </w:tblPr>
      <w:tblGrid>
        <w:gridCol w:w="1702"/>
        <w:gridCol w:w="5528"/>
        <w:gridCol w:w="1276"/>
        <w:gridCol w:w="1418"/>
        <w:gridCol w:w="5103"/>
      </w:tblGrid>
      <w:tr w:rsidR="00946F1A" w:rsidRPr="00545616" w14:paraId="72CBF1F1" w14:textId="77777777" w:rsidTr="00C112F5">
        <w:tc>
          <w:tcPr>
            <w:tcW w:w="15027" w:type="dxa"/>
            <w:gridSpan w:val="5"/>
            <w:shd w:val="clear" w:color="auto" w:fill="DBE5F1" w:themeFill="accent1" w:themeFillTint="33"/>
          </w:tcPr>
          <w:p w14:paraId="15450E16" w14:textId="77777777" w:rsidR="00946F1A" w:rsidRPr="00C112F5" w:rsidRDefault="00946F1A">
            <w:pPr>
              <w:rPr>
                <w:rFonts w:cstheme="minorHAnsi"/>
                <w:b/>
                <w:bCs/>
                <w:color w:val="1F497D" w:themeColor="text2"/>
              </w:rPr>
            </w:pPr>
          </w:p>
          <w:p w14:paraId="153A25E1" w14:textId="0DEBA408" w:rsidR="00CC0C57" w:rsidRPr="00C112F5" w:rsidRDefault="00946F1A" w:rsidP="00184E7F">
            <w:pPr>
              <w:rPr>
                <w:rFonts w:cstheme="minorHAnsi"/>
                <w:b/>
                <w:bCs/>
                <w:color w:val="1F497D" w:themeColor="text2"/>
              </w:rPr>
            </w:pPr>
            <w:r w:rsidRPr="00C112F5">
              <w:rPr>
                <w:rFonts w:cstheme="minorHAnsi"/>
                <w:b/>
                <w:bCs/>
                <w:color w:val="1F497D" w:themeColor="text2"/>
              </w:rPr>
              <w:t>Naziv akta:</w:t>
            </w:r>
            <w:r w:rsidR="00520915" w:rsidRPr="00C112F5">
              <w:rPr>
                <w:rFonts w:cstheme="minorHAnsi"/>
                <w:b/>
                <w:bCs/>
                <w:color w:val="1F497D" w:themeColor="text2"/>
              </w:rPr>
              <w:t xml:space="preserve"> </w:t>
            </w:r>
            <w:r w:rsidR="00DF528E" w:rsidRPr="00DF528E">
              <w:rPr>
                <w:rFonts w:cstheme="minorHAnsi"/>
                <w:b/>
                <w:bCs/>
                <w:color w:val="1F497D" w:themeColor="text2"/>
              </w:rPr>
              <w:t>Odluka o izmjenama i dopuni Odluke o Općinskim porezima Općine Tučepi</w:t>
            </w:r>
          </w:p>
        </w:tc>
      </w:tr>
      <w:tr w:rsidR="00946F1A" w:rsidRPr="00545616" w14:paraId="2AF1319C" w14:textId="77777777" w:rsidTr="00C112F5">
        <w:tc>
          <w:tcPr>
            <w:tcW w:w="15027" w:type="dxa"/>
            <w:gridSpan w:val="5"/>
            <w:shd w:val="clear" w:color="auto" w:fill="DBE5F1" w:themeFill="accent1" w:themeFillTint="33"/>
          </w:tcPr>
          <w:p w14:paraId="150D9627" w14:textId="77777777" w:rsidR="00E14DF4" w:rsidRPr="00C112F5" w:rsidRDefault="00E14DF4" w:rsidP="00520915">
            <w:pPr>
              <w:rPr>
                <w:rFonts w:cstheme="minorHAnsi"/>
                <w:b/>
                <w:color w:val="1F497D" w:themeColor="text2"/>
              </w:rPr>
            </w:pPr>
          </w:p>
          <w:p w14:paraId="4546035A" w14:textId="2328AB7B" w:rsidR="00946F1A" w:rsidRPr="00C112F5" w:rsidRDefault="00946F1A" w:rsidP="00520915">
            <w:pPr>
              <w:rPr>
                <w:rFonts w:cstheme="minorHAnsi"/>
                <w:b/>
                <w:color w:val="1F497D" w:themeColor="text2"/>
              </w:rPr>
            </w:pPr>
            <w:r w:rsidRPr="00C112F5">
              <w:rPr>
                <w:rFonts w:cstheme="minorHAnsi"/>
                <w:b/>
                <w:color w:val="1F497D" w:themeColor="text2"/>
              </w:rPr>
              <w:t xml:space="preserve">Razdoblje savjetovanja: </w:t>
            </w:r>
            <w:r w:rsidR="00DD5810" w:rsidRPr="00C112F5">
              <w:rPr>
                <w:rFonts w:cstheme="minorHAnsi"/>
                <w:b/>
                <w:color w:val="1F497D" w:themeColor="text2"/>
              </w:rPr>
              <w:t xml:space="preserve">od </w:t>
            </w:r>
            <w:r w:rsidR="00DF528E">
              <w:rPr>
                <w:rFonts w:cstheme="minorHAnsi"/>
                <w:b/>
                <w:color w:val="1F497D" w:themeColor="text2"/>
              </w:rPr>
              <w:t>2</w:t>
            </w:r>
            <w:r w:rsidR="00593719">
              <w:rPr>
                <w:rFonts w:cstheme="minorHAnsi"/>
                <w:b/>
                <w:color w:val="1F497D" w:themeColor="text2"/>
              </w:rPr>
              <w:t>0</w:t>
            </w:r>
            <w:r w:rsidR="00213CA9">
              <w:rPr>
                <w:rFonts w:cstheme="minorHAnsi"/>
                <w:b/>
                <w:color w:val="1F497D" w:themeColor="text2"/>
              </w:rPr>
              <w:t>.</w:t>
            </w:r>
            <w:r w:rsidR="00593719">
              <w:rPr>
                <w:rFonts w:cstheme="minorHAnsi"/>
                <w:b/>
                <w:color w:val="1F497D" w:themeColor="text2"/>
              </w:rPr>
              <w:t>01</w:t>
            </w:r>
            <w:r w:rsidR="00213CA9">
              <w:rPr>
                <w:rFonts w:cstheme="minorHAnsi"/>
                <w:b/>
                <w:color w:val="1F497D" w:themeColor="text2"/>
              </w:rPr>
              <w:t>.202</w:t>
            </w:r>
            <w:r w:rsidR="00593719">
              <w:rPr>
                <w:rFonts w:cstheme="minorHAnsi"/>
                <w:b/>
                <w:color w:val="1F497D" w:themeColor="text2"/>
              </w:rPr>
              <w:t>5</w:t>
            </w:r>
            <w:r w:rsidR="00213CA9">
              <w:rPr>
                <w:rFonts w:cstheme="minorHAnsi"/>
                <w:b/>
                <w:color w:val="1F497D" w:themeColor="text2"/>
              </w:rPr>
              <w:t>.-</w:t>
            </w:r>
            <w:r w:rsidR="00DF528E">
              <w:rPr>
                <w:rFonts w:cstheme="minorHAnsi"/>
                <w:b/>
                <w:color w:val="1F497D" w:themeColor="text2"/>
              </w:rPr>
              <w:t>1</w:t>
            </w:r>
            <w:r w:rsidR="00593719">
              <w:rPr>
                <w:rFonts w:cstheme="minorHAnsi"/>
                <w:b/>
                <w:color w:val="1F497D" w:themeColor="text2"/>
              </w:rPr>
              <w:t>9</w:t>
            </w:r>
            <w:r w:rsidR="00213CA9">
              <w:rPr>
                <w:rFonts w:cstheme="minorHAnsi"/>
                <w:b/>
                <w:color w:val="1F497D" w:themeColor="text2"/>
              </w:rPr>
              <w:t>.</w:t>
            </w:r>
            <w:r w:rsidR="00593719">
              <w:rPr>
                <w:rFonts w:cstheme="minorHAnsi"/>
                <w:b/>
                <w:color w:val="1F497D" w:themeColor="text2"/>
              </w:rPr>
              <w:t>02</w:t>
            </w:r>
            <w:r w:rsidR="00213CA9">
              <w:rPr>
                <w:rFonts w:cstheme="minorHAnsi"/>
                <w:b/>
                <w:color w:val="1F497D" w:themeColor="text2"/>
              </w:rPr>
              <w:t>.202</w:t>
            </w:r>
            <w:r w:rsidR="00593719">
              <w:rPr>
                <w:rFonts w:cstheme="minorHAnsi"/>
                <w:b/>
                <w:color w:val="1F497D" w:themeColor="text2"/>
              </w:rPr>
              <w:t>5</w:t>
            </w:r>
            <w:r w:rsidR="00213CA9">
              <w:rPr>
                <w:rFonts w:cstheme="minorHAnsi"/>
                <w:b/>
                <w:color w:val="1F497D" w:themeColor="text2"/>
              </w:rPr>
              <w:t>.</w:t>
            </w:r>
          </w:p>
          <w:p w14:paraId="29FB5B7A" w14:textId="77777777" w:rsidR="00E14DF4" w:rsidRPr="00C112F5" w:rsidRDefault="00E14DF4" w:rsidP="00520915">
            <w:pPr>
              <w:rPr>
                <w:rFonts w:cstheme="minorHAnsi"/>
                <w:b/>
                <w:color w:val="1F497D" w:themeColor="text2"/>
              </w:rPr>
            </w:pPr>
          </w:p>
        </w:tc>
      </w:tr>
      <w:tr w:rsidR="00546335" w:rsidRPr="00545616" w14:paraId="2C8CA2B0" w14:textId="77777777" w:rsidTr="00C112F5">
        <w:tc>
          <w:tcPr>
            <w:tcW w:w="1702" w:type="dxa"/>
            <w:shd w:val="clear" w:color="auto" w:fill="F2F2F2" w:themeFill="background1" w:themeFillShade="F2"/>
          </w:tcPr>
          <w:p w14:paraId="020902CB" w14:textId="77777777" w:rsidR="00946F1A" w:rsidRPr="00C112F5" w:rsidRDefault="00784B0B">
            <w:pPr>
              <w:rPr>
                <w:rFonts w:cstheme="minorHAnsi"/>
                <w:b/>
                <w:color w:val="1F497D" w:themeColor="text2"/>
              </w:rPr>
            </w:pPr>
            <w:r w:rsidRPr="00C112F5">
              <w:rPr>
                <w:rFonts w:cstheme="minorHAnsi"/>
                <w:b/>
                <w:color w:val="1F497D" w:themeColor="text2"/>
              </w:rPr>
              <w:t>Korisnik</w:t>
            </w:r>
          </w:p>
        </w:tc>
        <w:tc>
          <w:tcPr>
            <w:tcW w:w="5528" w:type="dxa"/>
            <w:shd w:val="clear" w:color="auto" w:fill="F2F2F2" w:themeFill="background1" w:themeFillShade="F2"/>
          </w:tcPr>
          <w:p w14:paraId="2EBCE669" w14:textId="77777777" w:rsidR="00946F1A" w:rsidRPr="00C112F5" w:rsidRDefault="00784B0B">
            <w:pPr>
              <w:rPr>
                <w:rFonts w:cstheme="minorHAnsi"/>
                <w:b/>
                <w:color w:val="1F497D" w:themeColor="text2"/>
              </w:rPr>
            </w:pPr>
            <w:r w:rsidRPr="00C112F5">
              <w:rPr>
                <w:rFonts w:cstheme="minorHAnsi"/>
                <w:b/>
                <w:color w:val="1F497D" w:themeColor="text2"/>
              </w:rPr>
              <w:t>Komentar</w:t>
            </w:r>
          </w:p>
        </w:tc>
        <w:tc>
          <w:tcPr>
            <w:tcW w:w="1276" w:type="dxa"/>
            <w:shd w:val="clear" w:color="auto" w:fill="F2F2F2" w:themeFill="background1" w:themeFillShade="F2"/>
          </w:tcPr>
          <w:p w14:paraId="1FE01A9F" w14:textId="77777777" w:rsidR="00946F1A" w:rsidRPr="00C112F5" w:rsidRDefault="00784B0B">
            <w:pPr>
              <w:rPr>
                <w:rFonts w:cstheme="minorHAnsi"/>
                <w:b/>
                <w:color w:val="1F497D" w:themeColor="text2"/>
              </w:rPr>
            </w:pPr>
            <w:r w:rsidRPr="00C112F5">
              <w:rPr>
                <w:rFonts w:cstheme="minorHAnsi"/>
                <w:b/>
                <w:color w:val="1F497D" w:themeColor="text2"/>
              </w:rPr>
              <w:t>Datum</w:t>
            </w:r>
          </w:p>
        </w:tc>
        <w:tc>
          <w:tcPr>
            <w:tcW w:w="1418" w:type="dxa"/>
            <w:shd w:val="clear" w:color="auto" w:fill="F2F2F2" w:themeFill="background1" w:themeFillShade="F2"/>
          </w:tcPr>
          <w:p w14:paraId="736A1362" w14:textId="77777777" w:rsidR="00946F1A" w:rsidRPr="00C112F5" w:rsidRDefault="00784B0B">
            <w:pPr>
              <w:rPr>
                <w:rFonts w:cstheme="minorHAnsi"/>
                <w:b/>
                <w:color w:val="1F497D" w:themeColor="text2"/>
              </w:rPr>
            </w:pPr>
            <w:r w:rsidRPr="00C112F5">
              <w:rPr>
                <w:rFonts w:cstheme="minorHAnsi"/>
                <w:b/>
                <w:color w:val="1F497D" w:themeColor="text2"/>
              </w:rPr>
              <w:t>Status</w:t>
            </w:r>
          </w:p>
        </w:tc>
        <w:tc>
          <w:tcPr>
            <w:tcW w:w="5103" w:type="dxa"/>
            <w:shd w:val="clear" w:color="auto" w:fill="F2F2F2" w:themeFill="background1" w:themeFillShade="F2"/>
          </w:tcPr>
          <w:p w14:paraId="47769DB2" w14:textId="77777777" w:rsidR="00946F1A" w:rsidRPr="00C112F5" w:rsidRDefault="00784B0B">
            <w:pPr>
              <w:rPr>
                <w:rFonts w:cstheme="minorHAnsi"/>
                <w:b/>
                <w:color w:val="1F497D" w:themeColor="text2"/>
              </w:rPr>
            </w:pPr>
            <w:r w:rsidRPr="00C112F5">
              <w:rPr>
                <w:rFonts w:cstheme="minorHAnsi"/>
                <w:b/>
                <w:color w:val="1F497D" w:themeColor="text2"/>
              </w:rPr>
              <w:t>Odgovor</w:t>
            </w:r>
          </w:p>
        </w:tc>
      </w:tr>
      <w:tr w:rsidR="00546335" w:rsidRPr="00545616" w14:paraId="4AA518C6" w14:textId="77777777" w:rsidTr="00C112F5">
        <w:tc>
          <w:tcPr>
            <w:tcW w:w="1702" w:type="dxa"/>
            <w:shd w:val="clear" w:color="auto" w:fill="auto"/>
          </w:tcPr>
          <w:p w14:paraId="2A49F86E" w14:textId="53A02427" w:rsidR="00946F1A" w:rsidRPr="00545616" w:rsidRDefault="00C4436D" w:rsidP="00A9210D">
            <w:pPr>
              <w:jc w:val="both"/>
              <w:rPr>
                <w:rFonts w:cstheme="minorHAnsi"/>
                <w:color w:val="808080" w:themeColor="background1" w:themeShade="80"/>
              </w:rPr>
            </w:pPr>
            <w:r w:rsidRPr="00C4436D">
              <w:rPr>
                <w:rFonts w:cstheme="minorHAnsi"/>
                <w:color w:val="808080" w:themeColor="background1" w:themeShade="80"/>
              </w:rPr>
              <w:t>Željko Mati</w:t>
            </w:r>
            <w:r>
              <w:rPr>
                <w:rFonts w:cstheme="minorHAnsi"/>
                <w:color w:val="808080" w:themeColor="background1" w:themeShade="80"/>
              </w:rPr>
              <w:t>ć</w:t>
            </w:r>
          </w:p>
        </w:tc>
        <w:tc>
          <w:tcPr>
            <w:tcW w:w="5528" w:type="dxa"/>
          </w:tcPr>
          <w:p w14:paraId="72CC5A2A" w14:textId="181446F1" w:rsidR="00946F1A" w:rsidRPr="00545616" w:rsidRDefault="00C4436D" w:rsidP="00B61F3C">
            <w:pPr>
              <w:jc w:val="both"/>
              <w:rPr>
                <w:rFonts w:cstheme="minorHAnsi"/>
                <w:color w:val="808080" w:themeColor="background1" w:themeShade="80"/>
              </w:rPr>
            </w:pPr>
            <w:r w:rsidRPr="00C4436D">
              <w:rPr>
                <w:rFonts w:cstheme="minorHAnsi"/>
                <w:color w:val="808080" w:themeColor="background1" w:themeShade="80"/>
              </w:rPr>
              <w:t xml:space="preserve">Navedeni iznos u članku 3. Odluke je prenizak. Članak 3. Odluke treba glasiti: Članak 5. mijenja se i glasi: »Porez na nekretnine plaća se godišnje u iznosu od 8,00 EUR po metru kvadratnom korisne površine nekretnine na cijelom području Općine Tučepi, bez obzira u kojoj se zoni, naselju ili području Općine Tučepi nekretnina nalazi«. Obrazloženje: Dok mještani kroz cijeli niz računa doprinose održavanju komunalne infrastrukture (voda, struja, telefon, komunalne usluge, ...) tijekom cijele godine osiguravajući i vlasnicima nekretnine da u onih mjesec-dva kad su u Tučepima imaju osigurane sve uvjete za ugodan život. Mještani izdvajaju znatne iznose dok povremeni korisnici nekretnina izdvajaju tek minimum. Uz pomoć ovog poreza smanjuje se nerazmjer pridonošenja zajedničkim javnim potrebama između mještana i povremenih korisnika svojih nekretnina. Porez bi trebao biti i veći no moramo se zadržati na zakonski dopuštenom maksimumu. Vlasnik automobila (vrijednosti 20.000 eura) godišnje kroz porez na motorna vozila, osiguranja, tehničke preglede, cestarine, gorivo doprinosi i znatno preko 1.000 eura održavanju zajedničke infrastrukture. Isto i s vlasnicima plovila. Dok vlasnici nekretnina koje su platili 200.000 do 400.000 eura imaju znatno manje troškove doprinosa održavanju zajedničke infrastrukture od prosječnog korisnika automobila. Ako netko ima 400.000 eura za kupiti nekretninu onda mu ne predstavlja problem godišnji porez od 400 do 800 eura koji će osigurati da mu nekretnina </w:t>
            </w:r>
            <w:r w:rsidRPr="00C4436D">
              <w:rPr>
                <w:rFonts w:cstheme="minorHAnsi"/>
                <w:color w:val="808080" w:themeColor="background1" w:themeShade="80"/>
              </w:rPr>
              <w:lastRenderedPageBreak/>
              <w:t>bude funkcionalna i zaštićena.</w:t>
            </w:r>
          </w:p>
        </w:tc>
        <w:tc>
          <w:tcPr>
            <w:tcW w:w="1276" w:type="dxa"/>
          </w:tcPr>
          <w:p w14:paraId="24AC0508" w14:textId="05E8FEF3" w:rsidR="00593719" w:rsidRPr="00593719" w:rsidRDefault="00C4436D" w:rsidP="00593719">
            <w:pPr>
              <w:rPr>
                <w:rFonts w:cstheme="minorHAnsi"/>
              </w:rPr>
            </w:pPr>
            <w:r>
              <w:rPr>
                <w:rFonts w:cstheme="minorHAnsi"/>
                <w:b/>
                <w:bCs/>
                <w:color w:val="808080" w:themeColor="background1" w:themeShade="80"/>
              </w:rPr>
              <w:lastRenderedPageBreak/>
              <w:t>01</w:t>
            </w:r>
            <w:r w:rsidRPr="00C4436D">
              <w:rPr>
                <w:rFonts w:cstheme="minorHAnsi"/>
                <w:b/>
                <w:bCs/>
                <w:color w:val="808080" w:themeColor="background1" w:themeShade="80"/>
              </w:rPr>
              <w:t>.02.2025 14:22:</w:t>
            </w:r>
          </w:p>
        </w:tc>
        <w:tc>
          <w:tcPr>
            <w:tcW w:w="1418" w:type="dxa"/>
          </w:tcPr>
          <w:p w14:paraId="5AF36E0B" w14:textId="52AF7F48" w:rsidR="00365B59" w:rsidRPr="00DA14AF" w:rsidRDefault="00184E7F" w:rsidP="00AE3D73">
            <w:pPr>
              <w:rPr>
                <w:rFonts w:cstheme="minorHAnsi"/>
                <w:color w:val="FF0000"/>
              </w:rPr>
            </w:pPr>
            <w:r w:rsidRPr="00DA14AF">
              <w:rPr>
                <w:rFonts w:ascii="Arial" w:hAnsi="Arial" w:cs="Arial"/>
                <w:color w:val="FF0000"/>
                <w:sz w:val="20"/>
                <w:szCs w:val="20"/>
              </w:rPr>
              <w:t>-</w:t>
            </w:r>
            <w:r w:rsidR="00AE3D73" w:rsidRPr="00DA14AF">
              <w:rPr>
                <w:rFonts w:ascii="Arial" w:hAnsi="Arial" w:cs="Arial"/>
                <w:color w:val="FF0000"/>
                <w:sz w:val="20"/>
                <w:szCs w:val="20"/>
              </w:rPr>
              <w:t xml:space="preserve">Ne prihvaća se </w:t>
            </w:r>
          </w:p>
        </w:tc>
        <w:tc>
          <w:tcPr>
            <w:tcW w:w="5103" w:type="dxa"/>
          </w:tcPr>
          <w:p w14:paraId="47D17C94" w14:textId="51C4EC68" w:rsidR="00946F1A" w:rsidRPr="00184E7F" w:rsidRDefault="00AE3D73" w:rsidP="00F922FD">
            <w:pPr>
              <w:spacing w:beforeLines="40" w:before="96" w:afterLines="40" w:after="96"/>
              <w:jc w:val="both"/>
              <w:rPr>
                <w:rFonts w:cstheme="minorHAnsi"/>
                <w:color w:val="FF0000"/>
              </w:rPr>
            </w:pPr>
            <w:r>
              <w:rPr>
                <w:rFonts w:cstheme="minorHAnsi"/>
                <w:color w:val="FF0000"/>
              </w:rPr>
              <w:t xml:space="preserve">Općina Tučepi u prijedlogu Odluke o izmjenama i dopuni Odluke o Općinskim porezima u čl. 3. </w:t>
            </w:r>
            <w:r w:rsidR="00DA14AF">
              <w:rPr>
                <w:rFonts w:cstheme="minorHAnsi"/>
                <w:color w:val="FF0000"/>
              </w:rPr>
              <w:t xml:space="preserve">zadržala je postojeći iznos koji je vrijedio kod oporezivanja kuća za odmor u visini od 5,00 eura. </w:t>
            </w:r>
          </w:p>
        </w:tc>
      </w:tr>
      <w:tr w:rsidR="00593719" w:rsidRPr="00545616" w14:paraId="65D61EED" w14:textId="77777777" w:rsidTr="00C112F5">
        <w:tc>
          <w:tcPr>
            <w:tcW w:w="1702" w:type="dxa"/>
            <w:shd w:val="clear" w:color="auto" w:fill="auto"/>
          </w:tcPr>
          <w:p w14:paraId="7DB038C2" w14:textId="178CE565" w:rsidR="00593719" w:rsidRPr="00593719" w:rsidRDefault="00C4436D" w:rsidP="00593719">
            <w:pPr>
              <w:jc w:val="both"/>
              <w:rPr>
                <w:rFonts w:cstheme="minorHAnsi"/>
                <w:b/>
                <w:bCs/>
                <w:color w:val="808080" w:themeColor="background1" w:themeShade="80"/>
              </w:rPr>
            </w:pPr>
            <w:r w:rsidRPr="00C4436D">
              <w:rPr>
                <w:rFonts w:cstheme="minorHAnsi"/>
                <w:b/>
                <w:bCs/>
                <w:color w:val="808080" w:themeColor="background1" w:themeShade="80"/>
              </w:rPr>
              <w:t>Željko Matić</w:t>
            </w:r>
          </w:p>
        </w:tc>
        <w:tc>
          <w:tcPr>
            <w:tcW w:w="5528" w:type="dxa"/>
          </w:tcPr>
          <w:p w14:paraId="6C7E5911" w14:textId="29D4F52D" w:rsidR="00593719" w:rsidRPr="00593719" w:rsidRDefault="00C4436D" w:rsidP="00593719">
            <w:pPr>
              <w:jc w:val="both"/>
              <w:rPr>
                <w:rFonts w:cstheme="minorHAnsi"/>
                <w:color w:val="808080" w:themeColor="background1" w:themeShade="80"/>
              </w:rPr>
            </w:pPr>
            <w:r w:rsidRPr="00C4436D">
              <w:rPr>
                <w:rFonts w:cstheme="minorHAnsi"/>
                <w:color w:val="808080" w:themeColor="background1" w:themeShade="80"/>
              </w:rPr>
              <w:t xml:space="preserve">PRIJEDLOG 1: (1) Porez na nekretnine plaća se godišnje u iznosu od 8,00 EUR po metru kvadratnom korisne površine nekretnine na području Općine Tučepi unutar UPU naselja Tučepi sjeverno i južno od D-8. (2) Porez na nekretnine plaća se godišnje u iznosu od 4,00 EUR po metru kvadratnom korisne površine nekretnine u ostalim naseljima na području Općine Tučepi. (3) U ostalim naseljima na području Općine Tučepi ostvaruje se popust na porez na nekretnine: - 40% popusta za nekretninu koja je izgrađena prije 1. siječnja 1990. godine - 15% za </w:t>
            </w:r>
            <w:proofErr w:type="spellStart"/>
            <w:r w:rsidRPr="00C4436D">
              <w:rPr>
                <w:rFonts w:cstheme="minorHAnsi"/>
                <w:color w:val="808080" w:themeColor="background1" w:themeShade="80"/>
              </w:rPr>
              <w:t>pročelni</w:t>
            </w:r>
            <w:proofErr w:type="spellEnd"/>
            <w:r w:rsidRPr="00C4436D">
              <w:rPr>
                <w:rFonts w:cstheme="minorHAnsi"/>
                <w:color w:val="808080" w:themeColor="background1" w:themeShade="80"/>
              </w:rPr>
              <w:t xml:space="preserve"> zid nekretnine koji je izgrađen od kamena te 10% za svaki slijedeći vanjski zid nekretnine izgrađen od kamena (maksimalno 45%) PRIJEDLOG 2: (1) Porez na nekretnine plaća se godišnje u iznosu od 8,00 EUR po metru kvadratnom korisne površine nekretnine na području Općine Tučepi unutar UPU naselja Tučepi sjeverno i južno od D-8. (2) Porez na nekretnine plaća se godišnje u iznosu od 0,60 EUR po metru kvadratnom korisne površine nekretnine u ostalim naseljima na području Općine Tučepi. (3) U ostalim naseljima na području Općine Tučepi visina poreza iz stavka 2. se uvećava: - za 1,40 EUR za nekretnine izgrađene poslije 1. siječnja 1995. godine - za 0,80 EUR ako je </w:t>
            </w:r>
            <w:proofErr w:type="spellStart"/>
            <w:r w:rsidRPr="00C4436D">
              <w:rPr>
                <w:rFonts w:cstheme="minorHAnsi"/>
                <w:color w:val="808080" w:themeColor="background1" w:themeShade="80"/>
              </w:rPr>
              <w:t>pročelni</w:t>
            </w:r>
            <w:proofErr w:type="spellEnd"/>
            <w:r w:rsidRPr="00C4436D">
              <w:rPr>
                <w:rFonts w:cstheme="minorHAnsi"/>
                <w:color w:val="808080" w:themeColor="background1" w:themeShade="80"/>
              </w:rPr>
              <w:t xml:space="preserve"> zid nekretnine izgrađen od betona ili armiranog betona te 0,60 EUR za svaki slijedeći vanjski zid nekretnine izgrađen od betona ili armiranog betona (maksimalno 2,60 EUR). Kod kuća u nizu zajednički zid dviju susjednih nekretnina se računa kao vanjski zid. Vanjski zid kamenih kuća koji je iznutra ojačan betonom ne smatra se vanjskim zidom izgrađenim od betona i nije oporeziv po ovoj stavci. Obrazloženje: Većina novih kuća je iznimne kvalitete i čvrstoće te izuzetno visoke cijene po m2, prodajne cijene od 3.000,00 do 5.000,00 eura pa i više. Gradnja je stručno projektirana i nadzirana. Dok je većina kuća građenih prije više od 30 godina rađena većinom vlastoručno od vlasnika </w:t>
            </w:r>
            <w:r w:rsidRPr="00C4436D">
              <w:rPr>
                <w:rFonts w:cstheme="minorHAnsi"/>
                <w:color w:val="808080" w:themeColor="background1" w:themeShade="80"/>
              </w:rPr>
              <w:lastRenderedPageBreak/>
              <w:t>nekretnina, nerijetko bez stručnog projektiranja i većinom bez nadzora. Kvaliteta gradnje loša, upitne čvrstoće, lošeg rasporeda, bez izolacije, ... Očita je znatna razlika u cijeni i kvaliteti nekretnina građenih prije 30 godina i građenih u zadnjih 30 godina pa se i porez na nekretnine treba uskladit s time. Slično je i sa starim kamenim kućama po zaseocima, nesigurnih i zastarjelih konstrukcija, bez izolacija, ... i nije primjereno od njih tražiti istu razinu poreza kao i od novogradnji.</w:t>
            </w:r>
          </w:p>
        </w:tc>
        <w:tc>
          <w:tcPr>
            <w:tcW w:w="1276" w:type="dxa"/>
          </w:tcPr>
          <w:p w14:paraId="462BE546" w14:textId="683BCDCB" w:rsidR="00593719" w:rsidRPr="00593719" w:rsidRDefault="00C4436D" w:rsidP="00593719">
            <w:pPr>
              <w:rPr>
                <w:rFonts w:cstheme="minorHAnsi"/>
                <w:b/>
                <w:bCs/>
                <w:color w:val="808080" w:themeColor="background1" w:themeShade="80"/>
              </w:rPr>
            </w:pPr>
            <w:r w:rsidRPr="00C4436D">
              <w:rPr>
                <w:rFonts w:cstheme="minorHAnsi"/>
                <w:b/>
                <w:bCs/>
                <w:color w:val="808080" w:themeColor="background1" w:themeShade="80"/>
              </w:rPr>
              <w:lastRenderedPageBreak/>
              <w:t>16.02.2025 14:22:</w:t>
            </w:r>
          </w:p>
        </w:tc>
        <w:tc>
          <w:tcPr>
            <w:tcW w:w="1418" w:type="dxa"/>
          </w:tcPr>
          <w:p w14:paraId="1D079143" w14:textId="3592E3BF" w:rsidR="00593719" w:rsidRPr="00630B97" w:rsidRDefault="00593719" w:rsidP="00DA14AF">
            <w:pPr>
              <w:rPr>
                <w:rFonts w:ascii="Arial" w:hAnsi="Arial" w:cs="Arial"/>
                <w:color w:val="808080" w:themeColor="background1" w:themeShade="80"/>
                <w:sz w:val="20"/>
                <w:szCs w:val="20"/>
              </w:rPr>
            </w:pPr>
            <w:r w:rsidRPr="00630B97">
              <w:rPr>
                <w:rFonts w:ascii="Arial" w:hAnsi="Arial" w:cs="Arial"/>
                <w:color w:val="808080" w:themeColor="background1" w:themeShade="80"/>
                <w:sz w:val="20"/>
                <w:szCs w:val="20"/>
              </w:rPr>
              <w:t>-</w:t>
            </w:r>
            <w:r w:rsidR="00DA14AF" w:rsidRPr="00DA14AF">
              <w:rPr>
                <w:rFonts w:ascii="Arial" w:hAnsi="Arial" w:cs="Arial"/>
                <w:color w:val="FF0000"/>
                <w:sz w:val="20"/>
                <w:szCs w:val="20"/>
              </w:rPr>
              <w:t>Ne prihvaća se</w:t>
            </w:r>
            <w:r w:rsidR="00DA14AF">
              <w:rPr>
                <w:rFonts w:ascii="Arial" w:hAnsi="Arial" w:cs="Arial"/>
                <w:color w:val="808080" w:themeColor="background1" w:themeShade="80"/>
                <w:sz w:val="20"/>
                <w:szCs w:val="20"/>
              </w:rPr>
              <w:t xml:space="preserve"> </w:t>
            </w:r>
          </w:p>
        </w:tc>
        <w:tc>
          <w:tcPr>
            <w:tcW w:w="5103" w:type="dxa"/>
          </w:tcPr>
          <w:p w14:paraId="465C8138" w14:textId="7D71F6EA" w:rsidR="00593719" w:rsidRPr="00184E7F" w:rsidRDefault="00DA14AF" w:rsidP="00593719">
            <w:pPr>
              <w:spacing w:beforeLines="40" w:before="96" w:afterLines="40" w:after="96"/>
              <w:jc w:val="both"/>
              <w:rPr>
                <w:rFonts w:cstheme="minorHAnsi"/>
                <w:color w:val="FF0000"/>
              </w:rPr>
            </w:pPr>
            <w:r>
              <w:rPr>
                <w:rFonts w:cstheme="minorHAnsi"/>
                <w:color w:val="FF0000"/>
              </w:rPr>
              <w:t>Općina Tučepi u prijedlogu Odluke u čl.3. nije propisala da visina poreza na nekretnine ovisi o mjestu, ulici , naselju ili zoni gdje se nekretnina nalazi niti da će visina poreza na nekretnine uvećavati/smanjivati  ovisno o drugim kriterijima.</w:t>
            </w:r>
          </w:p>
        </w:tc>
      </w:tr>
    </w:tbl>
    <w:p w14:paraId="3AB44A0F" w14:textId="77777777" w:rsidR="00545616" w:rsidRPr="00545616" w:rsidRDefault="00545616">
      <w:pPr>
        <w:rPr>
          <w:rFonts w:cstheme="minorHAnsi"/>
          <w:color w:val="808080" w:themeColor="background1" w:themeShade="80"/>
        </w:rPr>
      </w:pPr>
    </w:p>
    <w:sectPr w:rsidR="00545616" w:rsidRPr="00545616" w:rsidSect="007C536F">
      <w:headerReference w:type="first" r:id="rId6"/>
      <w:pgSz w:w="16838" w:h="11906" w:orient="landscape"/>
      <w:pgMar w:top="951" w:right="1417" w:bottom="1417" w:left="1417" w:header="285"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872BB" w14:textId="77777777" w:rsidR="00023D50" w:rsidRDefault="00023D50" w:rsidP="00946F1A">
      <w:pPr>
        <w:spacing w:after="0" w:line="240" w:lineRule="auto"/>
      </w:pPr>
      <w:r>
        <w:separator/>
      </w:r>
    </w:p>
  </w:endnote>
  <w:endnote w:type="continuationSeparator" w:id="0">
    <w:p w14:paraId="268C28F1" w14:textId="77777777" w:rsidR="00023D50" w:rsidRDefault="00023D50" w:rsidP="00946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E4F18" w14:textId="77777777" w:rsidR="00023D50" w:rsidRDefault="00023D50" w:rsidP="00946F1A">
      <w:pPr>
        <w:spacing w:after="0" w:line="240" w:lineRule="auto"/>
      </w:pPr>
      <w:r>
        <w:separator/>
      </w:r>
    </w:p>
  </w:footnote>
  <w:footnote w:type="continuationSeparator" w:id="0">
    <w:p w14:paraId="3E141B78" w14:textId="77777777" w:rsidR="00023D50" w:rsidRDefault="00023D50" w:rsidP="00946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9DDBA" w14:textId="77777777" w:rsidR="007C536F" w:rsidRDefault="00000000">
    <w:pPr>
      <w:pStyle w:val="Zaglavlje"/>
    </w:pPr>
    <w:r>
      <w:rPr>
        <w:noProof/>
        <w:lang w:eastAsia="hr-HR"/>
      </w:rPr>
      <w:pict w14:anchorId="0C68181C">
        <v:shapetype id="_x0000_t202" coordsize="21600,21600" o:spt="202" path="m,l,21600r21600,l21600,xe">
          <v:stroke joinstyle="miter"/>
          <v:path gradientshapeok="t" o:connecttype="rect"/>
        </v:shapetype>
        <v:shape id="_x0000_s1027" type="#_x0000_t202" style="position:absolute;margin-left:42.7pt;margin-top:13.4pt;width:137.75pt;height:34.8pt;z-index:251658240;mso-height-percent:200;mso-height-percent:200;mso-width-relative:margin;mso-height-relative:margin" strokecolor="white [3212]">
          <v:textbox style="mso-next-textbox:#_x0000_s1027;mso-fit-shape-to-text:t">
            <w:txbxContent>
              <w:p w14:paraId="7B5FFE25" w14:textId="77777777" w:rsidR="007C536F" w:rsidRPr="00946F1A" w:rsidRDefault="007C536F" w:rsidP="007C536F">
                <w:pPr>
                  <w:spacing w:after="0" w:line="240" w:lineRule="auto"/>
                  <w:rPr>
                    <w:b/>
                    <w:noProof/>
                    <w:color w:val="808080" w:themeColor="background1" w:themeShade="80"/>
                    <w:lang w:eastAsia="hr-HR"/>
                  </w:rPr>
                </w:pPr>
                <w:r w:rsidRPr="00946F1A">
                  <w:rPr>
                    <w:b/>
                    <w:noProof/>
                    <w:color w:val="808080" w:themeColor="background1" w:themeShade="80"/>
                    <w:lang w:eastAsia="hr-HR"/>
                  </w:rPr>
                  <w:t>REPUBLIKA HRVATSKA</w:t>
                </w:r>
              </w:p>
              <w:p w14:paraId="2CA5B89F" w14:textId="5414BF94" w:rsidR="007C536F" w:rsidRPr="00946F1A" w:rsidRDefault="00D81ED5" w:rsidP="007C536F">
                <w:pPr>
                  <w:spacing w:after="0" w:line="240" w:lineRule="auto"/>
                  <w:rPr>
                    <w:b/>
                    <w:color w:val="808080" w:themeColor="background1" w:themeShade="80"/>
                  </w:rPr>
                </w:pPr>
                <w:r>
                  <w:rPr>
                    <w:b/>
                    <w:noProof/>
                    <w:color w:val="808080" w:themeColor="background1" w:themeShade="80"/>
                    <w:lang w:eastAsia="hr-HR"/>
                  </w:rPr>
                  <w:t>OPĆINA TUČEPI</w:t>
                </w:r>
              </w:p>
            </w:txbxContent>
          </v:textbox>
        </v:shape>
      </w:pict>
    </w:r>
    <w:r w:rsidR="00520915">
      <w:rPr>
        <w:noProof/>
        <w:lang w:eastAsia="hr-HR"/>
      </w:rPr>
      <w:drawing>
        <wp:inline distT="0" distB="0" distL="0" distR="0" wp14:anchorId="10719AF4" wp14:editId="71523FA1">
          <wp:extent cx="478155" cy="638175"/>
          <wp:effectExtent l="0" t="0" r="0" b="0"/>
          <wp:docPr id="1" name="Slika 1" descr="Datoteka:Coat of arms of Croat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oteka:Coat of arms of Croat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8155" cy="6381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F1A"/>
    <w:rsid w:val="00001FB1"/>
    <w:rsid w:val="000170E2"/>
    <w:rsid w:val="0001753A"/>
    <w:rsid w:val="00023D50"/>
    <w:rsid w:val="00084810"/>
    <w:rsid w:val="00095998"/>
    <w:rsid w:val="00184E7F"/>
    <w:rsid w:val="001B0961"/>
    <w:rsid w:val="001B43C3"/>
    <w:rsid w:val="00213CA9"/>
    <w:rsid w:val="00255AF3"/>
    <w:rsid w:val="002B7FBD"/>
    <w:rsid w:val="00365B59"/>
    <w:rsid w:val="003A51DA"/>
    <w:rsid w:val="003B7228"/>
    <w:rsid w:val="003F60E3"/>
    <w:rsid w:val="0040510A"/>
    <w:rsid w:val="004B055B"/>
    <w:rsid w:val="004D4B17"/>
    <w:rsid w:val="00520915"/>
    <w:rsid w:val="00545616"/>
    <w:rsid w:val="00546335"/>
    <w:rsid w:val="00593719"/>
    <w:rsid w:val="005F56E2"/>
    <w:rsid w:val="00626CC9"/>
    <w:rsid w:val="00630B97"/>
    <w:rsid w:val="00634E6F"/>
    <w:rsid w:val="006721AA"/>
    <w:rsid w:val="006B7557"/>
    <w:rsid w:val="006C46BB"/>
    <w:rsid w:val="006F0942"/>
    <w:rsid w:val="00704413"/>
    <w:rsid w:val="00737A30"/>
    <w:rsid w:val="00744549"/>
    <w:rsid w:val="00784B0B"/>
    <w:rsid w:val="00787CAC"/>
    <w:rsid w:val="007C536F"/>
    <w:rsid w:val="00892754"/>
    <w:rsid w:val="008A7A88"/>
    <w:rsid w:val="0093264E"/>
    <w:rsid w:val="00946F1A"/>
    <w:rsid w:val="00957F16"/>
    <w:rsid w:val="009C341E"/>
    <w:rsid w:val="009C4CEC"/>
    <w:rsid w:val="00A842D3"/>
    <w:rsid w:val="00A9210D"/>
    <w:rsid w:val="00AD27A3"/>
    <w:rsid w:val="00AE3D73"/>
    <w:rsid w:val="00B01F1B"/>
    <w:rsid w:val="00B561DF"/>
    <w:rsid w:val="00B61F3C"/>
    <w:rsid w:val="00B65120"/>
    <w:rsid w:val="00BE4331"/>
    <w:rsid w:val="00BE5C48"/>
    <w:rsid w:val="00C112F5"/>
    <w:rsid w:val="00C20307"/>
    <w:rsid w:val="00C4436D"/>
    <w:rsid w:val="00C73FE4"/>
    <w:rsid w:val="00C8226A"/>
    <w:rsid w:val="00C86468"/>
    <w:rsid w:val="00C91EF3"/>
    <w:rsid w:val="00CC0C57"/>
    <w:rsid w:val="00D252FB"/>
    <w:rsid w:val="00D75DF2"/>
    <w:rsid w:val="00D81ED5"/>
    <w:rsid w:val="00DA14AF"/>
    <w:rsid w:val="00DA5BB5"/>
    <w:rsid w:val="00DB0A0F"/>
    <w:rsid w:val="00DD16AB"/>
    <w:rsid w:val="00DD34EF"/>
    <w:rsid w:val="00DD5810"/>
    <w:rsid w:val="00DF4F27"/>
    <w:rsid w:val="00DF528E"/>
    <w:rsid w:val="00E0443C"/>
    <w:rsid w:val="00E102EF"/>
    <w:rsid w:val="00E14DF4"/>
    <w:rsid w:val="00E158E5"/>
    <w:rsid w:val="00E23220"/>
    <w:rsid w:val="00E30CAF"/>
    <w:rsid w:val="00E32626"/>
    <w:rsid w:val="00E55531"/>
    <w:rsid w:val="00E73B1D"/>
    <w:rsid w:val="00E73E66"/>
    <w:rsid w:val="00E82AAE"/>
    <w:rsid w:val="00E91D4F"/>
    <w:rsid w:val="00EA55B3"/>
    <w:rsid w:val="00EB6C68"/>
    <w:rsid w:val="00F17645"/>
    <w:rsid w:val="00F255EA"/>
    <w:rsid w:val="00F84330"/>
    <w:rsid w:val="00F922FD"/>
    <w:rsid w:val="00F96ECD"/>
    <w:rsid w:val="00FA05DE"/>
    <w:rsid w:val="00FD13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12C5D"/>
  <w15:docId w15:val="{47838C0D-271E-4C79-A1DC-B66531A4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26A"/>
  </w:style>
  <w:style w:type="paragraph" w:styleId="Naslov2">
    <w:name w:val="heading 2"/>
    <w:basedOn w:val="Normal"/>
    <w:next w:val="Normal"/>
    <w:link w:val="Naslov2Char"/>
    <w:uiPriority w:val="9"/>
    <w:semiHidden/>
    <w:unhideWhenUsed/>
    <w:qFormat/>
    <w:rsid w:val="00DF52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46F1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46F1A"/>
  </w:style>
  <w:style w:type="paragraph" w:styleId="Podnoje">
    <w:name w:val="footer"/>
    <w:basedOn w:val="Normal"/>
    <w:link w:val="PodnojeChar"/>
    <w:uiPriority w:val="99"/>
    <w:unhideWhenUsed/>
    <w:rsid w:val="00946F1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46F1A"/>
  </w:style>
  <w:style w:type="paragraph" w:styleId="Tekstbalonia">
    <w:name w:val="Balloon Text"/>
    <w:basedOn w:val="Normal"/>
    <w:link w:val="TekstbaloniaChar"/>
    <w:uiPriority w:val="99"/>
    <w:semiHidden/>
    <w:unhideWhenUsed/>
    <w:rsid w:val="00946F1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46F1A"/>
    <w:rPr>
      <w:rFonts w:ascii="Tahoma" w:hAnsi="Tahoma" w:cs="Tahoma"/>
      <w:sz w:val="16"/>
      <w:szCs w:val="16"/>
    </w:rPr>
  </w:style>
  <w:style w:type="table" w:styleId="Reetkatablice">
    <w:name w:val="Table Grid"/>
    <w:basedOn w:val="Obinatablica"/>
    <w:uiPriority w:val="59"/>
    <w:rsid w:val="00946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158E5"/>
    <w:rPr>
      <w:sz w:val="16"/>
      <w:szCs w:val="16"/>
    </w:rPr>
  </w:style>
  <w:style w:type="paragraph" w:styleId="Tekstkomentara">
    <w:name w:val="annotation text"/>
    <w:basedOn w:val="Normal"/>
    <w:link w:val="TekstkomentaraChar"/>
    <w:uiPriority w:val="99"/>
    <w:semiHidden/>
    <w:unhideWhenUsed/>
    <w:rsid w:val="00E158E5"/>
    <w:pPr>
      <w:spacing w:line="240" w:lineRule="auto"/>
    </w:pPr>
    <w:rPr>
      <w:sz w:val="20"/>
      <w:szCs w:val="20"/>
    </w:rPr>
  </w:style>
  <w:style w:type="character" w:customStyle="1" w:styleId="TekstkomentaraChar">
    <w:name w:val="Tekst komentara Char"/>
    <w:basedOn w:val="Zadanifontodlomka"/>
    <w:link w:val="Tekstkomentara"/>
    <w:uiPriority w:val="99"/>
    <w:semiHidden/>
    <w:rsid w:val="00E158E5"/>
    <w:rPr>
      <w:sz w:val="20"/>
      <w:szCs w:val="20"/>
    </w:rPr>
  </w:style>
  <w:style w:type="paragraph" w:styleId="Predmetkomentara">
    <w:name w:val="annotation subject"/>
    <w:basedOn w:val="Tekstkomentara"/>
    <w:next w:val="Tekstkomentara"/>
    <w:link w:val="PredmetkomentaraChar"/>
    <w:uiPriority w:val="99"/>
    <w:semiHidden/>
    <w:unhideWhenUsed/>
    <w:rsid w:val="00E158E5"/>
    <w:rPr>
      <w:b/>
      <w:bCs/>
    </w:rPr>
  </w:style>
  <w:style w:type="character" w:customStyle="1" w:styleId="PredmetkomentaraChar">
    <w:name w:val="Predmet komentara Char"/>
    <w:basedOn w:val="TekstkomentaraChar"/>
    <w:link w:val="Predmetkomentara"/>
    <w:uiPriority w:val="99"/>
    <w:semiHidden/>
    <w:rsid w:val="00E158E5"/>
    <w:rPr>
      <w:b/>
      <w:bCs/>
      <w:sz w:val="20"/>
      <w:szCs w:val="20"/>
    </w:rPr>
  </w:style>
  <w:style w:type="paragraph" w:styleId="Odlomakpopisa">
    <w:name w:val="List Paragraph"/>
    <w:basedOn w:val="Normal"/>
    <w:uiPriority w:val="34"/>
    <w:qFormat/>
    <w:rsid w:val="00B65120"/>
    <w:pPr>
      <w:ind w:left="720"/>
      <w:contextualSpacing/>
    </w:pPr>
  </w:style>
  <w:style w:type="character" w:customStyle="1" w:styleId="Naslov2Char">
    <w:name w:val="Naslov 2 Char"/>
    <w:basedOn w:val="Zadanifontodlomka"/>
    <w:link w:val="Naslov2"/>
    <w:uiPriority w:val="9"/>
    <w:semiHidden/>
    <w:rsid w:val="00DF528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079473">
      <w:bodyDiv w:val="1"/>
      <w:marLeft w:val="0"/>
      <w:marRight w:val="0"/>
      <w:marTop w:val="0"/>
      <w:marBottom w:val="0"/>
      <w:divBdr>
        <w:top w:val="none" w:sz="0" w:space="0" w:color="auto"/>
        <w:left w:val="none" w:sz="0" w:space="0" w:color="auto"/>
        <w:bottom w:val="none" w:sz="0" w:space="0" w:color="auto"/>
        <w:right w:val="none" w:sz="0" w:space="0" w:color="auto"/>
      </w:divBdr>
    </w:div>
    <w:div w:id="901598413">
      <w:bodyDiv w:val="1"/>
      <w:marLeft w:val="0"/>
      <w:marRight w:val="0"/>
      <w:marTop w:val="0"/>
      <w:marBottom w:val="0"/>
      <w:divBdr>
        <w:top w:val="none" w:sz="0" w:space="0" w:color="auto"/>
        <w:left w:val="none" w:sz="0" w:space="0" w:color="auto"/>
        <w:bottom w:val="none" w:sz="0" w:space="0" w:color="auto"/>
        <w:right w:val="none" w:sz="0" w:space="0" w:color="auto"/>
      </w:divBdr>
      <w:divsChild>
        <w:div w:id="1219822499">
          <w:marLeft w:val="0"/>
          <w:marRight w:val="0"/>
          <w:marTop w:val="0"/>
          <w:marBottom w:val="0"/>
          <w:divBdr>
            <w:top w:val="none" w:sz="0" w:space="0" w:color="auto"/>
            <w:left w:val="none" w:sz="0" w:space="0" w:color="auto"/>
            <w:bottom w:val="none" w:sz="0" w:space="0" w:color="auto"/>
            <w:right w:val="none" w:sz="0" w:space="0" w:color="auto"/>
          </w:divBdr>
        </w:div>
        <w:div w:id="434248738">
          <w:marLeft w:val="0"/>
          <w:marRight w:val="0"/>
          <w:marTop w:val="0"/>
          <w:marBottom w:val="0"/>
          <w:divBdr>
            <w:top w:val="none" w:sz="0" w:space="0" w:color="auto"/>
            <w:left w:val="none" w:sz="0" w:space="0" w:color="auto"/>
            <w:bottom w:val="none" w:sz="0" w:space="0" w:color="auto"/>
            <w:right w:val="none" w:sz="0" w:space="0" w:color="auto"/>
          </w:divBdr>
        </w:div>
        <w:div w:id="1298341189">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28714534">
          <w:marLeft w:val="0"/>
          <w:marRight w:val="0"/>
          <w:marTop w:val="0"/>
          <w:marBottom w:val="0"/>
          <w:divBdr>
            <w:top w:val="none" w:sz="0" w:space="0" w:color="auto"/>
            <w:left w:val="none" w:sz="0" w:space="0" w:color="auto"/>
            <w:bottom w:val="none" w:sz="0" w:space="0" w:color="auto"/>
            <w:right w:val="none" w:sz="0" w:space="0" w:color="auto"/>
          </w:divBdr>
        </w:div>
        <w:div w:id="1203514008">
          <w:marLeft w:val="0"/>
          <w:marRight w:val="0"/>
          <w:marTop w:val="0"/>
          <w:marBottom w:val="0"/>
          <w:divBdr>
            <w:top w:val="none" w:sz="0" w:space="0" w:color="auto"/>
            <w:left w:val="none" w:sz="0" w:space="0" w:color="auto"/>
            <w:bottom w:val="none" w:sz="0" w:space="0" w:color="auto"/>
            <w:right w:val="none" w:sz="0" w:space="0" w:color="auto"/>
          </w:divBdr>
        </w:div>
        <w:div w:id="498889477">
          <w:marLeft w:val="0"/>
          <w:marRight w:val="0"/>
          <w:marTop w:val="0"/>
          <w:marBottom w:val="0"/>
          <w:divBdr>
            <w:top w:val="none" w:sz="0" w:space="0" w:color="auto"/>
            <w:left w:val="none" w:sz="0" w:space="0" w:color="auto"/>
            <w:bottom w:val="none" w:sz="0" w:space="0" w:color="auto"/>
            <w:right w:val="none" w:sz="0" w:space="0" w:color="auto"/>
          </w:divBdr>
        </w:div>
      </w:divsChild>
    </w:div>
    <w:div w:id="939066292">
      <w:bodyDiv w:val="1"/>
      <w:marLeft w:val="0"/>
      <w:marRight w:val="0"/>
      <w:marTop w:val="0"/>
      <w:marBottom w:val="0"/>
      <w:divBdr>
        <w:top w:val="none" w:sz="0" w:space="0" w:color="auto"/>
        <w:left w:val="none" w:sz="0" w:space="0" w:color="auto"/>
        <w:bottom w:val="none" w:sz="0" w:space="0" w:color="auto"/>
        <w:right w:val="none" w:sz="0" w:space="0" w:color="auto"/>
      </w:divBdr>
    </w:div>
    <w:div w:id="1100684741">
      <w:bodyDiv w:val="1"/>
      <w:marLeft w:val="0"/>
      <w:marRight w:val="0"/>
      <w:marTop w:val="0"/>
      <w:marBottom w:val="0"/>
      <w:divBdr>
        <w:top w:val="none" w:sz="0" w:space="0" w:color="auto"/>
        <w:left w:val="none" w:sz="0" w:space="0" w:color="auto"/>
        <w:bottom w:val="none" w:sz="0" w:space="0" w:color="auto"/>
        <w:right w:val="none" w:sz="0" w:space="0" w:color="auto"/>
      </w:divBdr>
    </w:div>
    <w:div w:id="1100763787">
      <w:bodyDiv w:val="1"/>
      <w:marLeft w:val="0"/>
      <w:marRight w:val="0"/>
      <w:marTop w:val="0"/>
      <w:marBottom w:val="0"/>
      <w:divBdr>
        <w:top w:val="none" w:sz="0" w:space="0" w:color="auto"/>
        <w:left w:val="none" w:sz="0" w:space="0" w:color="auto"/>
        <w:bottom w:val="none" w:sz="0" w:space="0" w:color="auto"/>
        <w:right w:val="none" w:sz="0" w:space="0" w:color="auto"/>
      </w:divBdr>
    </w:div>
    <w:div w:id="1128864339">
      <w:bodyDiv w:val="1"/>
      <w:marLeft w:val="0"/>
      <w:marRight w:val="0"/>
      <w:marTop w:val="0"/>
      <w:marBottom w:val="0"/>
      <w:divBdr>
        <w:top w:val="none" w:sz="0" w:space="0" w:color="auto"/>
        <w:left w:val="none" w:sz="0" w:space="0" w:color="auto"/>
        <w:bottom w:val="none" w:sz="0" w:space="0" w:color="auto"/>
        <w:right w:val="none" w:sz="0" w:space="0" w:color="auto"/>
      </w:divBdr>
    </w:div>
    <w:div w:id="1582376344">
      <w:bodyDiv w:val="1"/>
      <w:marLeft w:val="0"/>
      <w:marRight w:val="0"/>
      <w:marTop w:val="0"/>
      <w:marBottom w:val="0"/>
      <w:divBdr>
        <w:top w:val="none" w:sz="0" w:space="0" w:color="auto"/>
        <w:left w:val="none" w:sz="0" w:space="0" w:color="auto"/>
        <w:bottom w:val="none" w:sz="0" w:space="0" w:color="auto"/>
        <w:right w:val="none" w:sz="0" w:space="0" w:color="auto"/>
      </w:divBdr>
    </w:div>
    <w:div w:id="1691684372">
      <w:bodyDiv w:val="1"/>
      <w:marLeft w:val="0"/>
      <w:marRight w:val="0"/>
      <w:marTop w:val="0"/>
      <w:marBottom w:val="0"/>
      <w:divBdr>
        <w:top w:val="none" w:sz="0" w:space="0" w:color="auto"/>
        <w:left w:val="none" w:sz="0" w:space="0" w:color="auto"/>
        <w:bottom w:val="none" w:sz="0" w:space="0" w:color="auto"/>
        <w:right w:val="none" w:sz="0" w:space="0" w:color="auto"/>
      </w:divBdr>
    </w:div>
    <w:div w:id="1836651342">
      <w:bodyDiv w:val="1"/>
      <w:marLeft w:val="0"/>
      <w:marRight w:val="0"/>
      <w:marTop w:val="0"/>
      <w:marBottom w:val="0"/>
      <w:divBdr>
        <w:top w:val="none" w:sz="0" w:space="0" w:color="auto"/>
        <w:left w:val="none" w:sz="0" w:space="0" w:color="auto"/>
        <w:bottom w:val="none" w:sz="0" w:space="0" w:color="auto"/>
        <w:right w:val="none" w:sz="0" w:space="0" w:color="auto"/>
      </w:divBdr>
    </w:div>
    <w:div w:id="1898196757">
      <w:bodyDiv w:val="1"/>
      <w:marLeft w:val="0"/>
      <w:marRight w:val="0"/>
      <w:marTop w:val="0"/>
      <w:marBottom w:val="0"/>
      <w:divBdr>
        <w:top w:val="none" w:sz="0" w:space="0" w:color="auto"/>
        <w:left w:val="none" w:sz="0" w:space="0" w:color="auto"/>
        <w:bottom w:val="none" w:sz="0" w:space="0" w:color="auto"/>
        <w:right w:val="none" w:sz="0" w:space="0" w:color="auto"/>
      </w:divBdr>
    </w:div>
    <w:div w:id="20700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693</Words>
  <Characters>3954</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dc:creator>
  <cp:lastModifiedBy>Vjekoslav Šimić</cp:lastModifiedBy>
  <cp:revision>3</cp:revision>
  <cp:lastPrinted>2025-02-20T12:08:00Z</cp:lastPrinted>
  <dcterms:created xsi:type="dcterms:W3CDTF">2025-02-20T12:09:00Z</dcterms:created>
  <dcterms:modified xsi:type="dcterms:W3CDTF">2025-02-20T12:09:00Z</dcterms:modified>
</cp:coreProperties>
</file>